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Текст"/>
        <w:jc w:val="center"/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Список вопросов по курсу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"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Интеллектуальная собственность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":</w:t>
      </w:r>
    </w:p>
    <w:p>
      <w:pPr>
        <w:pStyle w:val="Текст"/>
        <w:jc w:val="both"/>
      </w:pP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Назовите понятие собственности с разных точек зрения и на какие виды делится собственность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Когда и где зародилось понятие интеллектуальной собственности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Когда в России оно появилось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чем заключается основное отличие интеллектуальной собственности от прочих видов собственности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Какими правами обладает автор ИС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такое изобретение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Полезная модель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промышленный образец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их отличия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Товарный знак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фирменное наименование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такое копирайт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Какие органы охраняют ИС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Споры и защита  прав на интеллектуальную собственность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Общие подходы к оценке различных видов интеллектуальной собственности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Затратный подход к оценке объектов интеллектуальной собственности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Сравнительный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рыночный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подход к оценке объектов интеллектуальной собственности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Доходный подход к оценке объектов интеллектуальной собственности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чем заключается суть инвестиций в нематериальные активы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Виды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структура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инвестиций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Роль нематериальных активов в имущественной массе предприятий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Результаты использования интеллектуальной собственности в хозяйственной деятельности предприятий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чем заключается суть э</w:t>
      </w:r>
      <w:r>
        <w:rPr>
          <w:rFonts w:ascii="Times New Roman" w:hAnsi="Times New Roman" w:hint="default"/>
          <w:sz w:val="28"/>
          <w:szCs w:val="28"/>
          <w:rtl w:val="0"/>
        </w:rPr>
        <w:t>кспертн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ой оценки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</w:t>
      </w:r>
      <w:r>
        <w:rPr>
          <w:rFonts w:ascii="Times New Roman" w:hAnsi="Times New Roman" w:hint="default"/>
          <w:sz w:val="28"/>
          <w:szCs w:val="28"/>
          <w:rtl w:val="0"/>
        </w:rPr>
        <w:t>предел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ить</w:t>
      </w:r>
      <w:r>
        <w:rPr>
          <w:rFonts w:ascii="Times New Roman" w:hAnsi="Times New Roman" w:hint="default"/>
          <w:sz w:val="28"/>
          <w:szCs w:val="28"/>
          <w:rtl w:val="0"/>
        </w:rPr>
        <w:t xml:space="preserve"> лимитн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ые</w:t>
      </w:r>
      <w:r>
        <w:rPr>
          <w:rFonts w:ascii="Times New Roman" w:hAnsi="Times New Roman" w:hint="default"/>
          <w:sz w:val="28"/>
          <w:szCs w:val="28"/>
          <w:rtl w:val="0"/>
        </w:rPr>
        <w:t xml:space="preserve"> цен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ы на</w:t>
      </w:r>
      <w:r>
        <w:rPr>
          <w:rFonts w:ascii="Times New Roman" w:hAnsi="Times New Roman" w:hint="default"/>
          <w:sz w:val="28"/>
          <w:szCs w:val="28"/>
          <w:rtl w:val="0"/>
        </w:rPr>
        <w:t xml:space="preserve"> научно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</w:rPr>
        <w:t>техническ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ую</w:t>
      </w:r>
      <w:r>
        <w:rPr>
          <w:rFonts w:ascii="Times New Roman" w:hAnsi="Times New Roman" w:hint="default"/>
          <w:sz w:val="28"/>
          <w:szCs w:val="28"/>
          <w:rtl w:val="0"/>
        </w:rPr>
        <w:t xml:space="preserve"> продукци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ю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осуществляется п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рогнозирование стоимости изготовления промышленных образцов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Какие существуют направления внедрения новых информационных технологий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Внедрение расчетно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логической системы на основе вероятностного подхода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Основание оценки стоимостных показателей интеллектуальной собственности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Какие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существуют м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одели оценки достоверности стоимостных показателей интеллектуальной собственности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Текст"/>
        <w:numPr>
          <w:ilvl w:val="0"/>
          <w:numId w:val="2"/>
        </w:numPr>
        <w:jc w:val="both"/>
        <w:rPr>
          <w:rFonts w:ascii="Times New Roman" w:hAnsi="Times New Roman" w:hint="default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Достоверность научных результатов и адекватность математических моделей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Текст">
    <w:name w:val="Текст"/>
    <w:next w:val="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numbering" w:styleId="С числами">
    <w:name w:val="С числами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